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Las finanzas p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ú</w:t>
      </w:r>
      <w:r>
        <w:rPr>
          <w:i w:val="1"/>
          <w:iCs w:val="1"/>
          <w:sz w:val="25"/>
          <w:szCs w:val="25"/>
          <w:rtl w:val="0"/>
          <w:lang w:val="es-ES_tradnl"/>
        </w:rPr>
        <w:t>blicas y las Asociaciones P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ú</w:t>
      </w:r>
      <w:r>
        <w:rPr>
          <w:i w:val="1"/>
          <w:iCs w:val="1"/>
          <w:sz w:val="25"/>
          <w:szCs w:val="25"/>
          <w:rtl w:val="0"/>
          <w:lang w:val="es-ES_tradnl"/>
        </w:rPr>
        <w:t>blico-Privadas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3532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DRA. MARCELA ASTUDILLO MOYA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3532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